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KäseV — Käsegruppen</w:t>
      </w:r>
    </w:p>
    <w:p>
      <w:r>
        <w:rPr>
          <w:color w:val="555555"/>
          <w:sz w:val="18"/>
        </w:rPr>
        <w:t xml:space="preserve">Käseverordnung</w:t>
      </w:r>
    </w:p>
    <w:p>
      <w:r>
        <w:rPr>
          <w:color w:val="555555"/>
          <w:sz w:val="18"/>
        </w:rPr>
        <w:t xml:space="preserve">Historische Fassung: Stand 10.06.2019 bis 14.06.2026. Dies ist nicht die aktuelle Fassung.</w:t>
      </w:r>
    </w:p>
    <w:p>
      <w:r>
        <w:t xml:space="preserve">(1) Käse wird nach dem Wassergehalt in der fettfreien Käsemasse in folgende Käsegruppen eingeteilt:</w:t>
      </w:r>
    </w:p>
    <w:p>
      <w:r>
        <w:rPr>
          <w:rFonts w:ascii="Courier New" w:hAnsi="Courier New"/>
          <w:sz w:val="17"/>
        </w:rPr>
        <w:t xml:space="preserve">Käsegruppe    Wassergehalt in der fettfreien Käsemasse</w:t>
      </w:r>
    </w:p>
    <w:p>
      <w:r>
        <w:rPr>
          <w:rFonts w:ascii="Courier New" w:hAnsi="Courier New"/>
          <w:sz w:val="17"/>
        </w:rPr>
        <w:t xml:space="preserve">Hartkäse    56% oder weniger</w:t>
      </w:r>
    </w:p>
    <w:p>
      <w:r>
        <w:rPr>
          <w:rFonts w:ascii="Courier New" w:hAnsi="Courier New"/>
          <w:sz w:val="17"/>
        </w:rPr>
        <w:t xml:space="preserve">Schnittkäse    mehr als 54% bis 63%</w:t>
      </w:r>
    </w:p>
    <w:p>
      <w:r>
        <w:rPr>
          <w:rFonts w:ascii="Courier New" w:hAnsi="Courier New"/>
          <w:sz w:val="17"/>
        </w:rPr>
        <w:t xml:space="preserve">Halbfester Schnittkäse    mehr als 61% bis 69%</w:t>
      </w:r>
    </w:p>
    <w:p>
      <w:r>
        <w:rPr>
          <w:rFonts w:ascii="Courier New" w:hAnsi="Courier New"/>
          <w:sz w:val="17"/>
        </w:rPr>
        <w:t xml:space="preserve">Sauermilchkäse    mehr als 60% bis 73%</w:t>
      </w:r>
    </w:p>
    <w:p>
      <w:r>
        <w:rPr>
          <w:rFonts w:ascii="Courier New" w:hAnsi="Courier New"/>
          <w:sz w:val="17"/>
        </w:rPr>
        <w:t xml:space="preserve">Weichkäse    mehr als 67%</w:t>
      </w:r>
    </w:p>
    <w:p>
      <w:r>
        <w:rPr>
          <w:rFonts w:ascii="Courier New" w:hAnsi="Courier New"/>
          <w:sz w:val="17"/>
        </w:rPr>
        <w:t xml:space="preserve">Frischkäse    mehr als 73%.</w:t>
      </w:r>
    </w:p>
    <w:p>
      <w:r>
        <w:t xml:space="preserve">(1a) Absatz 1 gilt nicht für</w:t>
      </w:r>
    </w:p>
    <w:p>
      <w:pPr>
        <w:ind w:left="420"/>
      </w:pPr>
      <w:r>
        <w:t xml:space="preserve">1. Molkenkäse und Molkeneiweißkäse,</w:t>
      </w:r>
    </w:p>
    <w:p>
      <w:pPr>
        <w:ind w:left="420"/>
      </w:pPr>
      <w:r>
        <w:t xml:space="preserve">2. Käse, der aus oder in einer Flüssigkeit, wie Salzlake, Molke oder Speiseöl, in den Verkehr gebracht wird, sowie</w:t>
      </w:r>
    </w:p>
    <w:p>
      <w:pPr>
        <w:ind w:left="420"/>
      </w:pPr>
      <w:r>
        <w:t xml:space="preserve">3. Pasta filata Käse.</w:t>
      </w:r>
    </w:p>
    <w:p>
      <w:r>
        <w:t xml:space="preserve">(2) Standardsorten mit Ausnahme von Schichtkäse und der Standardsorten bei Sauermilchkäse werden abweichend von Absatz 1 nach dem Mindestgehalt an Trockenmasse in Käsegruppen nach Anlage 1 eingeteilt.</w:t>
      </w:r>
    </w:p>
    <w:p>
      <w:r>
        <w:rPr>
          <w:color w:val="555555"/>
          <w:sz w:val="17"/>
        </w:rPr>
        <w:t xml:space="preserve">Zitiervorschlag: § 6 KäseV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https://recht.nulegal.eu/gesetze/K%C3%A4seV/6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