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KäseV — Anforderungen an die Herstellung von Erzeugnissen aus Käse</w:t>
      </w:r>
    </w:p>
    <w:p>
      <w:r>
        <w:rPr>
          <w:color w:val="555555"/>
          <w:sz w:val="18"/>
        </w:rPr>
        <w:t xml:space="preserve">Käseverordnung</w:t>
      </w:r>
    </w:p>
    <w:p>
      <w:r>
        <w:rPr>
          <w:color w:val="555555"/>
          <w:sz w:val="18"/>
        </w:rPr>
        <w:t xml:space="preserve">Historische Fassung: Stand 27.11.2021 bis 14.06.2026. Dies ist nicht die aktuelle Fassung.</w:t>
      </w:r>
    </w:p>
    <w:p>
      <w:r>
        <w:t xml:space="preserve">(1) Bei der Herstellung von Erzeugnissen aus Käse dürfen außer den in den Begriffsbestimmungen für diese Erzeugnisse in § 1 Abs. 4 jeweils genannten Erzeugnissen nur verwendet werden</w:t>
      </w:r>
    </w:p>
    <w:p>
      <w:pPr>
        <w:ind w:left="420"/>
      </w:pPr>
      <w:r>
        <w:t xml:space="preserve">1. die in § 3 Abs. 1 Nr. 2 genannten Stoffe;</w:t>
      </w:r>
    </w:p>
    <w:p>
      <w:pPr>
        <w:ind w:left="420"/>
      </w:pPr>
      <w:r>
        <w:t xml:space="preserve">2. (weggefallen)</w:t>
      </w:r>
    </w:p>
    <w:p>
      <w:pPr>
        <w:ind w:left="420"/>
      </w:pPr>
      <w:r>
        <w:t xml:space="preserve">3. (weggefallen)</w:t>
      </w:r>
    </w:p>
    <w:p>
      <w:pPr>
        <w:ind w:left="420"/>
      </w:pPr>
      <w:r>
        <w:t xml:space="preserve">4. bei Käsezubereitungen</w:t>
      </w:r>
    </w:p>
    <w:p>
      <w:pPr>
        <w:ind w:left="780"/>
      </w:pPr>
      <w:r>
        <w:t xml:space="preserve">a) im Falle eines Trockenmassegehaltes von mindestens 35 vom Hundert Kaseinat bis zu 5 vom Hundert des Gesamtgewichts des Fertigerzeugnisses und</w:t>
      </w:r>
    </w:p>
    <w:p>
      <w:pPr>
        <w:ind w:left="780"/>
      </w:pPr>
      <w:r>
        <w:t xml:space="preserve">b) in technologisch notwendigem Umfang Zitrusfaser;</w:t>
      </w:r>
    </w:p>
    <w:p>
      <w:pPr>
        <w:ind w:left="420"/>
      </w:pPr>
      <w:r>
        <w:t xml:space="preserve">5. bei Käsezubereitungen und Schmelzkäsezubereitungen</w:t>
      </w:r>
    </w:p>
    <w:p>
      <w:pPr>
        <w:ind w:left="780"/>
      </w:pPr>
      <w:r>
        <w:t xml:space="preserve">a) Stärke, Speisegelatine und Laktase und</w:t>
      </w:r>
    </w:p>
    <w:p>
      <w:pPr>
        <w:ind w:left="780"/>
      </w:pPr>
      <w:r>
        <w:t xml:space="preserve">b) in technologisch notwendigem Umfang Inulin.</w:t>
      </w:r>
    </w:p>
    <w:p>
      <w:r>
        <w:t xml:space="preserve">(2) Bei der Herstellung von Käsezubereitungen muß der Gewichtsanteil des Käses an den insgesamt zur Herstellung verwendeten Stoffen mindestens 50 v.H. betragen.</w:t>
      </w:r>
    </w:p>
    <w:p>
      <w:r>
        <w:t xml:space="preserve">(3) Käsezubereitungen und Schmelzkäsezubereitungen dürfen an beigegebenen Lebensmitteln nicht mehr als 15 v.H. des Gesamtgewichts des Fertigerzeugnisses enthalten.</w:t>
      </w:r>
    </w:p>
    <w:p>
      <w:r>
        <w:t xml:space="preserve">(4) Käsezubereitungen aus Frischkäse, die unter Verwendung von Früchten, Fruchterzeugnissen, Gemüse oder Gemüseerzeugnissen hergestellt werden, dürfen abweichend von Absatz 3 bis zu 30 v. H. des Gesamtgewichts des Fertigerzeugnisses an diesen Lebensmitteln enthalten.</w:t>
      </w:r>
    </w:p>
    <w:p>
      <w:r>
        <w:rPr>
          <w:color w:val="555555"/>
          <w:sz w:val="17"/>
        </w:rPr>
        <w:t xml:space="preserve">Zitiervorschlag: § 4 KäseV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https://recht.nulegal.eu/gesetze/K%C3%A4seV/4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