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KäseV — Straftaten und Ordnungswidrigkeiten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27.11.2021 bis 14.06.2026. Dies ist nicht die aktuelle Fassung.</w:t>
      </w:r>
    </w:p>
    <w:p>
      <w:r>
        <w:t xml:space="preserve">(1) (weggefallen)</w:t>
      </w:r>
    </w:p>
    <w:p>
      <w:r>
        <w:t xml:space="preserve">(2) Nach § 59 Abs. 1 Nr. 21 Buchstabe a des Lebensmittel- und Futtermittelgesetzbuches wird bestraft, wer entgegen § 20 Abs. 1 Satz 1 Labaustauschstoffe ohne Genehmigung herstellt.</w:t>
      </w:r>
    </w:p>
    <w:p>
      <w:r>
        <w:t xml:space="preserve">(3) (weggefallen)</w:t>
      </w:r>
    </w:p>
    <w:p>
      <w:r>
        <w:t xml:space="preserve">(4) Nach § 59 Abs. 1 Nr. 21 Buchstabe a des Lebensmittel- und Futtermittelgesetzbuches wird bestraft, wer entgegen § 15 Abs. 5 oder § 28 Abs. 3 Satz 1 dort genannten Käse oder ein Erzeugnis aus Käse in den Verkehr bringt.</w:t>
      </w:r>
    </w:p>
    <w:p>
      <w:r>
        <w:t xml:space="preserve">(5) Wer eine in den Absätzen 2 und 4 bezeichnete Handlung fahrlässig begeht, handelt nach § 60 Abs. 1 des Lebensmittel- und Futtermittelgesetzbuches ordnungswidrig.</w:t>
      </w:r>
    </w:p>
    <w:p>
      <w:r>
        <w:t xml:space="preserve">(6) Ordnungswidrig im Sinne des § 60 Abs. 2 Nr. 26 Buchstabe a des Lebensmittel- und Futtermittelgesetzbuches handelt, wer vorsätzlich oder fahrlässig</w:t>
      </w:r>
    </w:p>
    <w:p>
      <w:pPr>
        <w:ind w:left="420"/>
      </w:pPr>
      <w:r>
        <w:t xml:space="preserve">1. (weggefallen)</w:t>
      </w:r>
    </w:p>
    <w:p>
      <w:pPr>
        <w:ind w:left="420"/>
      </w:pPr>
      <w:r>
        <w:t xml:space="preserve">2. die nach § 20 Abs. 6 vorgeschriebene Reinigung oder Desinfektion nicht oder nicht ausreichend durchführt.</w:t>
      </w:r>
    </w:p>
    <w:p>
      <w:r>
        <w:t xml:space="preserve">(7) Ordnungswidrig im Sinne des § 60 Abs. 2 Nr. 26 Buchstabe a des Lebensmittel- und Futtermittelgesetzbuches handelt, wer vorsätzlich oder fahrlässig</w:t>
      </w:r>
    </w:p>
    <w:p>
      <w:pPr>
        <w:ind w:left="420"/>
      </w:pPr>
      <w:r>
        <w:t xml:space="preserve">1. entgegen § 14 Abs. 1 in Verbindung mit Absatz 2 Nr. 1 bis 4, Abs. 4 oder 6 Nr. 1 Buchstabe a oder c oder Nr. 2 Buchstabe a oder c Käse oder Erzeugnisse aus Käse, die nicht oder nicht in der vorgeschriebenen Weise gekennzeichnet sind, oder</w:t>
      </w:r>
    </w:p>
    <w:p>
      <w:pPr>
        <w:ind w:left="420"/>
      </w:pPr>
      <w:r>
        <w:t xml:space="preserve">2. Lab-Pepsin-Zubereitungen oder Labaustauschstoffe</w:t>
      </w:r>
    </w:p>
    <w:p>
      <w:pPr>
        <w:ind w:left="780"/>
      </w:pPr>
      <w:r>
        <w:t xml:space="preserve">a) entgegen § 22 Satz 1 nicht in Packungen oder Behältnissen oder</w:t>
      </w:r>
    </w:p>
    <w:p>
      <w:pPr>
        <w:ind w:left="780"/>
      </w:pPr>
      <w:r>
        <w:t xml:space="preserve">b) in Packungen oder Behältnissen, die entgegen § 22 Satz 2 nicht oder nicht in der vorgeschriebenen Weise gekennzeichnet sind,</w:t>
      </w:r>
    </w:p>
    <w:p>
      <w:pPr>
        <w:ind w:left="420"/>
      </w:pPr>
      <w:r>
        <w:t xml:space="preserve">gewerbsmäßig in den Verkehr bringt.</w:t>
      </w:r>
    </w:p>
    <w:p>
      <w:r>
        <w:t xml:space="preserve">(8) Ordnungswidrig im Sinne des § 60 Abs. 2 Nr. 26 Buchstabe b des Lebensmittel- und Futtermittelgesetzbuches handelt, wer vorsätzlich oder fahrlässig</w:t>
      </w:r>
    </w:p>
    <w:p>
      <w:pPr>
        <w:ind w:left="420"/>
      </w:pPr>
      <w:r>
        <w:t xml:space="preserve">1. der Anmeldepflicht nach § 21 Abs. 1 Satz 1 nicht nachkommt oder</w:t>
      </w:r>
    </w:p>
    <w:p>
      <w:pPr>
        <w:ind w:left="420"/>
      </w:pPr>
      <w:r>
        <w:t xml:space="preserve">2. entgegen § 21 Abs. 2 Labaustauschstoffe in den Geltungsbereich dieser Verordnung verbringt.</w:t>
      </w:r>
    </w:p>
    <w:p>
      <w:r>
        <w:rPr>
          <w:color w:val="555555"/>
          <w:sz w:val="17"/>
        </w:rPr>
        <w:t xml:space="preserve">Zitiervorschlag: § 30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