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KäseV — Besondere Zubereitungen</w:t>
      </w:r>
    </w:p>
    <w:p>
      <w:r>
        <w:rPr>
          <w:color w:val="555555"/>
          <w:sz w:val="18"/>
        </w:rPr>
        <w:t xml:space="preserve">Käseverordnung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Die Vorschriften dieser Verordnung finden keine Anwendung auf</w:t>
      </w:r>
    </w:p>
    <w:p>
      <w:pPr>
        <w:ind w:left="420"/>
      </w:pPr>
      <w:r>
        <w:t xml:space="preserve">1. Käse-Fondue-Zubereitungen,</w:t>
      </w:r>
    </w:p>
    <w:p>
      <w:pPr>
        <w:ind w:left="420"/>
      </w:pPr>
      <w:r>
        <w:t xml:space="preserve">2. Zubereitungen aus Frischkäse, die in Griechenland unter Verwendung von Öl und sonstigen typischen Zusätzen, insbesondere Gurken, hergestellt werden oder solchen griechischen Erzeugnissen nach Herstellungsweise und Zusammensetzung entsprechen.</w:t>
      </w:r>
    </w:p>
    <w:p>
      <w:r>
        <w:rPr>
          <w:color w:val="555555"/>
          <w:sz w:val="17"/>
        </w:rPr>
        <w:t xml:space="preserve">Zitiervorschlag: § 29 KäseV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https://recht.nulegal.eu/gesetze/K%C3%A4seV/29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KäseV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