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KäseV — Verbringen von Labaustauschstoffen in den Geltungsbereich der Verordnung</w:t>
      </w:r>
    </w:p>
    <w:p>
      <w:r>
        <w:rPr>
          <w:color w:val="555555"/>
          <w:sz w:val="18"/>
        </w:rPr>
        <w:t xml:space="preserve">Käseverordnung</w:t>
      </w:r>
    </w:p>
    <w:p>
      <w:r>
        <w:rPr>
          <w:color w:val="555555"/>
          <w:sz w:val="18"/>
        </w:rPr>
        <w:t xml:space="preserve">Historische Fassung: Stand 10.06.2019 bis 14.06.2026. Dies ist nicht die aktuelle Fassung.</w:t>
      </w:r>
    </w:p>
    <w:p>
      <w:r>
        <w:t xml:space="preserve">(1) Wer Labaustauschstoffe in den Geltungsbereich dieser Verordnung verbringen will, hat dies der für den Ort der Zollabfertigung zuständigen Behörde zuvor anzumelden und nach dem Muster der Anlage 5 nachzuweisen, daß die Labaustauschstoffe den Anforderungen nach § 20 Abs. 5 genügen. Die zuständige Behörde hat zu prüfen, ob der Nachweis als ausreichend anzusehen ist; das Ergebnis der Prüfung ist dem Anzeigenden mitzuteilen.</w:t>
      </w:r>
    </w:p>
    <w:p>
      <w:r>
        <w:t xml:space="preserve">(2) Labaustauschstoffe dürfen in den Geltungsbereich dieser Verordnung nur verbracht werden, wenn</w:t>
      </w:r>
    </w:p>
    <w:p>
      <w:pPr>
        <w:ind w:left="420"/>
      </w:pPr>
      <w:r>
        <w:t xml:space="preserve">1. die nach Absatz 1 zuständige Behörde den Nachweis der gesundheitlichen Unbedenklichkeit als ausreichend angesehen hat,</w:t>
      </w:r>
    </w:p>
    <w:p>
      <w:pPr>
        <w:ind w:left="420"/>
      </w:pPr>
      <w:r>
        <w:t xml:space="preserve">2. die Labaustauschstoffe in einem Betrieb hergestellt worden sind, der von der zuständigen Behörde des Herkunftslandes zugelassen ist und überwacht wird,</w:t>
      </w:r>
    </w:p>
    <w:p>
      <w:pPr>
        <w:ind w:left="420"/>
      </w:pPr>
      <w:r>
        <w:t xml:space="preserve">3. jede in der Sendung enthaltene Charge untersucht worden ist und diese Untersuchung ergeben hat, daß der Labaustauschstoff den Anforderungen nach § 20 Abs. 5 genügt, und</w:t>
      </w:r>
    </w:p>
    <w:p>
      <w:pPr>
        <w:ind w:left="420"/>
      </w:pPr>
      <w:r>
        <w:t xml:space="preserve">4. die Sendung im Zeitpunkt der zollamtlichen Abfertigung zum freien Verkehr, zur Zollgutlagerung in einem offenen Zollager, zur aktiven Veredlung, zur Umwandlung oder zur Zollgut- oder Freigutverwendung von einer amtlichen Bescheinigung nach Muster der Anlage 6 begleitet wird.</w:t>
      </w:r>
    </w:p>
    <w:p>
      <w:r>
        <w:t xml:space="preserve">Im Falle der Nummer 3 gelten die Anforderungen nach § 20 Abs. 5 Nr. 1 als erfüllt, wenn durch Prüfung im Zellkulturtest mit Zellen menschlicher Herkunft toxische Eigenschaften nicht nachgewiesen worden sind. Wird der Nachweis der gesundheitlichen Unbedenklichkeit nach § 20 Abs. 5 ganz oder teilweise durch amtliche oder amtlich anerkannte Untersuchungsstellen im Geltungsbereich der Verordnung erbracht, so ist in Ziffer IV Nr. 3 der in Satz 1 Nr. 4 genannten amtlichen Bescheinigung unter Angabe der untersuchten Eigenschaften und der Untersuchungsstelle darauf hinzuweisen.</w:t>
      </w:r>
    </w:p>
    <w:p>
      <w:r>
        <w:t xml:space="preserve">(3) Die Ausstellung der Bescheinigung nach Absatz 2 Satz 1 Nr. 4 darf im Zeitpunkt der zollamtlichen Abfertigung nicht länger als einen Monat zurückliegen. Die Bescheinigung ist von der zuständigen Behörde des Versandlandes auszustellen. Die Bescheinigung muß in deutscher Sprache abgefaßt sein und in dreifacher Ausfertigung vorgelegt werden; die Urschrift wie auch die erste und zweite Mehrausfertigung sind als solche zu kennzeichnen. Eine Mehrausfertigung der Bescheinigung ist von der Zollstelle auf Kosten des Verfügungsberechtigten der nach Absatz 1 zuständigen Behörde zuzuleiten.</w:t>
      </w:r>
    </w:p>
    <w:p>
      <w:r>
        <w:rPr>
          <w:color w:val="555555"/>
          <w:sz w:val="17"/>
        </w:rPr>
        <w:t xml:space="preserve">Zitiervorschlag: § 21 KäseV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https://recht.nulegal.eu/gesetze/K%C3%A4seV/21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