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KäseV — Anwendungsbereich</w:t>
      </w:r>
    </w:p>
    <w:p>
      <w:r>
        <w:rPr>
          <w:color w:val="555555"/>
          <w:sz w:val="18"/>
        </w:rPr>
        <w:t xml:space="preserve">Käseverordnung</w:t>
      </w:r>
    </w:p>
    <w:p>
      <w:r>
        <w:rPr>
          <w:color w:val="555555"/>
          <w:sz w:val="18"/>
        </w:rPr>
        <w:t xml:space="preserve">Historische Fassung: Stand 10.06.2019 bis 14.06.2026. Dies ist nicht die aktuelle Fassung.</w:t>
      </w:r>
    </w:p>
    <w:p>
      <w:r>
        <w:t xml:space="preserve">Die Vorschriften dieser Verordnung gelten nur für das gewerbsmäßige Herstellen und Inverkehrbringen von Käse und Erzeugnissen aus Käse. Dem gewerbsmäßigen Herstellen oder Inverkehrbringen im Sinne dieser Verordnung steht es gleich, wenn Käse oder Erzeugnisse aus Käse für Mitglieder von Genossenschaften oder ähnlichen Einrichtungen oder in Einrichtungen zur Gemeinschaftsverpflegung hergestellt oder abgegeben werden.</w:t>
      </w:r>
    </w:p>
    <w:p>
      <w:r>
        <w:rPr>
          <w:color w:val="555555"/>
          <w:sz w:val="17"/>
        </w:rPr>
        <w:t xml:space="preserve">Zitiervorschlag: § 2 KäseV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https://recht.nulegal.eu/gesetze/K%C3%A4seV/2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