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 KäseV — Kochkäse</w:t>
      </w:r>
    </w:p>
    <w:p>
      <w:r>
        <w:rPr>
          <w:color w:val="555555"/>
          <w:sz w:val="18"/>
        </w:rPr>
        <w:t xml:space="preserve">Käseverordnung</w:t>
      </w:r>
    </w:p>
    <w:p>
      <w:r>
        <w:rPr>
          <w:color w:val="555555"/>
          <w:sz w:val="18"/>
        </w:rPr>
        <w:t xml:space="preserve">Historische Fassung: Stand 10.06.2019 bis 14.06.2026. Dies ist nicht die aktuelle Fassung.</w:t>
      </w:r>
    </w:p>
    <w:p>
      <w:r>
        <w:t xml:space="preserve">Anstelle der Bezeichnung "Schmelzkäse" darf die Bezeichnung "Kochkäse" verwendet werden, wenn zur Herstellung nur Sauermilchquark oder Labquark, auch unter Zusatz von Schnittkäse (ohne Rinde oder Haut) bis zu acht Gewichtshundertteilen, bezogen auf das Fertigerzeugnis, und an anderen Milcherzeugnissen nur Sahne (Rahm), Butter oder Butterschmalz verwendet worden sind.</w:t>
      </w:r>
    </w:p>
    <w:p>
      <w:r>
        <w:rPr>
          <w:color w:val="555555"/>
          <w:sz w:val="17"/>
        </w:rPr>
        <w:t xml:space="preserve">Zitiervorschlag: § 13 KäseV</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https://recht.nulegal.eu/gesetze/K%C3%A4seV/13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