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KÜO</w:t>
      </w:r>
    </w:p>
    <w:p>
      <w:r>
        <w:rPr>
          <w:color w:val="555555"/>
          <w:sz w:val="18"/>
        </w:rPr>
        <w:t xml:space="preserve">Kehr- und Überprüfungsordnung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</w:t>
      </w:r>
    </w:p>
    <w:p>
      <w:pPr>
        <w:ind w:left="420"/>
      </w:pPr>
      <w:r>
        <w:t xml:space="preserve">– des § 24 Absatz 1 des Schornsteinfegergesetzes in der Fassung der Bekanntmachung vom 10. August 1998 (BGBl. I S. 2071), der zuletzt durch das Dritte Gesetz zur Änderung des Energieeinsparungsgesetzes vom 28. März 2009 (BGBl. I S. 643) geändert worden ist,</w:t>
      </w:r>
    </w:p>
    <w:p>
      <w:pPr>
        <w:ind w:left="420"/>
      </w:pPr>
      <w:r>
        <w:t xml:space="preserve">– des § 1 Absatz 1 Satz 2 und des § 4 Absatz 4 des Schornsteinfeger-Handwerksgesetzes vom 26. November 2008 (BGBl. I S. 2242)</w:t>
      </w:r>
    </w:p>
    <w:p>
      <w:r>
        <w:t xml:space="preserve">verordnet das Bundesministerium für Wirtschaft und Technologie:</w:t>
      </w:r>
    </w:p>
    <w:p>
      <w:r>
        <w:rPr>
          <w:color w:val="555555"/>
          <w:sz w:val="17"/>
        </w:rPr>
        <w:t xml:space="preserve">Zitiervorschlag: Eingangsformel KÜO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https://recht.nulegal.eu/gesetze/K%C3%9CO/eingangsformel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