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KÜO — Inkrafttreten, Außerkrafttreten</w:t>
      </w:r>
    </w:p>
    <w:p>
      <w:r>
        <w:rPr>
          <w:color w:val="555555"/>
          <w:sz w:val="18"/>
        </w:rPr>
        <w:t xml:space="preserve">Kehr- und Überprüfungsordnung</w:t>
      </w:r>
    </w:p>
    <w:p>
      <w:r>
        <w:rPr>
          <w:color w:val="555555"/>
          <w:sz w:val="18"/>
        </w:rPr>
        <w:t xml:space="preserve">Stand: 09.07.2020 (konsolidierte Textfassung, kein amtliches Inkrafttretensdatum)</w:t>
      </w:r>
    </w:p>
    <w:p>
      <w:r>
        <w:t xml:space="preserve">§ 5 und § 6 in Verbindung mit Anlage 3 Nummer 5.8 dieser Verordnung treten am Tag nach der Verkündung in Kraft. Im Übrigen tritt diese Verordnung am 1. Januar 2010 in Kraft.</w:t>
      </w:r>
    </w:p>
    <w:p>
      <w:r>
        <w:rPr>
          <w:color w:val="555555"/>
          <w:sz w:val="17"/>
        </w:rPr>
        <w:t xml:space="preserve">Zitiervorschlag: § 8 KÜO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https://recht.nulegal.eu/gesetze/K%C3%9CO/8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