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KÜO — Begriffsbestimmungen</w:t>
      </w:r>
    </w:p>
    <w:p>
      <w:r>
        <w:rPr>
          <w:color w:val="555555"/>
          <w:sz w:val="18"/>
        </w:rPr>
        <w:t xml:space="preserve">Kehr- und Überprüfungsordnung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Anwendung dieser Verordnung sind die in Anlage 4 aufgeführten Begriffsbestimmungen zugrunde zu legen.</w:t>
      </w:r>
    </w:p>
    <w:p>
      <w:r>
        <w:rPr>
          <w:color w:val="555555"/>
          <w:sz w:val="17"/>
        </w:rPr>
        <w:t xml:space="preserve">Zitiervorschlag: § 7 KÜO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https://recht.nulegal.eu/gesetze/K%C3%9CO/7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