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KÜO — Gebühren</w:t>
      </w:r>
    </w:p>
    <w:p>
      <w:r>
        <w:rPr>
          <w:color w:val="555555"/>
          <w:sz w:val="18"/>
        </w:rPr>
        <w:t xml:space="preserve">Kehr- und Überprüfungsordnung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Gebühren sind für folgende Tätigkeiten zu entrichten:</w:t>
      </w:r>
    </w:p>
    <w:p>
      <w:pPr>
        <w:ind w:left="420"/>
      </w:pPr>
      <w:r>
        <w:t xml:space="preserve">1. Feuerstättenschau nach § 14 Absatz 1 des Schornsteinfeger-Handwerksgesetzes,</w:t>
      </w:r>
    </w:p>
    <w:p>
      <w:pPr>
        <w:ind w:left="420"/>
      </w:pPr>
      <w:r>
        <w:t xml:space="preserve">2. Erlass oder Änderung des Feuerstättenbescheides nach § 14a des Schornsteinfeger-Handwerksgesetzes,</w:t>
      </w:r>
    </w:p>
    <w:p>
      <w:pPr>
        <w:ind w:left="420"/>
      </w:pPr>
      <w:r>
        <w:t xml:space="preserve">3. anlassbezogene Überprüfung nach § 15 Satz 1 des Schornsteinfeger-Handwerksgesetzes, wenn bei der Überprüfung tatsächlich Mängel festgestellt wurden,</w:t>
      </w:r>
    </w:p>
    <w:p>
      <w:pPr>
        <w:ind w:left="420"/>
      </w:pPr>
      <w:r>
        <w:t xml:space="preserve">4. Mahnung rückständiger Gebühren nach § 20 Absatz 1 Satz 2 des Schornsteinfeger-Handwerksgesetzes,</w:t>
      </w:r>
    </w:p>
    <w:p>
      <w:pPr>
        <w:ind w:left="420"/>
      </w:pPr>
      <w:r>
        <w:t xml:space="preserve">5. Ersatzvornahme nach § 26 des Schornsteinfeger-Handwerksgesetzes,</w:t>
      </w:r>
    </w:p>
    <w:p>
      <w:pPr>
        <w:ind w:left="420"/>
      </w:pPr>
      <w:r>
        <w:t xml:space="preserve">6. Ablehnung eines Antrags auf Herabsetzung der Kehrhäufigkeit nach § 1 Absatz 5a, sowie</w:t>
      </w:r>
    </w:p>
    <w:p>
      <w:pPr>
        <w:ind w:left="420"/>
      </w:pPr>
      <w:r>
        <w:t xml:space="preserve">7. anlassbezogene Überprüfung nach § 1 Absatz 8.</w:t>
      </w:r>
    </w:p>
    <w:p>
      <w:r>
        <w:t xml:space="preserve">(2) Eine Mahnung kann ausgesprochen werden, wenn eine rückständige Gebühr nach Anlage 3 innerhalb von 30 Tagen nach Zugang der Gebührenrechnung nicht bezahlt wurde. Die Mahngebühr nach Absatz 1 Nummer 4 darf nur einmal je fällige Gebührenrechnung erhoben werden.</w:t>
      </w:r>
    </w:p>
    <w:p>
      <w:r>
        <w:t xml:space="preserve">(3) Die Gebührensätze richten sich nach den in Anlage 3 festgesetzten Arbeitswerten. Der Arbeitswert beträgt 1,40 Euro zuzüglich der gesetzlichen Umsatzsteuer.</w:t>
      </w:r>
    </w:p>
    <w:p>
      <w:r>
        <w:rPr>
          <w:color w:val="555555"/>
          <w:sz w:val="17"/>
        </w:rPr>
        <w:t xml:space="preserve">Zitiervorschlag: § 6 KÜO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https://recht.nulegal.eu/gesetze/K%C3%9CO/6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KÜO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