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96 JustG NRW (Nordrhein-Westfalen) — Fortgeltung von Vorschriften</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satzungsmäßigen Vorschriften, welche für die zurzeit des Inkrafttretens des Bürgerlichen Gesetzbuchs bestehenden landschaftlichen oder ritterschaftlichen Kreditanstalten über die Aufnahme, Eintragung oder Löschung der Pfandbriefdarlehen sowie über die Umschreibung eingetragener Forderungen in Pfandbriefdarlehen und die Umwandlung der Pfandbriefe ergangen sind, bleiben in Kraft.</w:t>
      </w:r>
    </w:p>
    <w:p>
      <w:r>
        <w:t xml:space="preserve">(2) Als landschaftliche Kreditanstalten im Sinne des Absatzes 1 gelten auch die provinzial- (kommunal-) ständischen öffentlichen Grundkreditanstalten.</w:t>
      </w:r>
    </w:p>
    <w:p>
      <w:r>
        <w:rPr>
          <w:color w:val="555555"/>
          <w:sz w:val="17"/>
        </w:rPr>
        <w:t xml:space="preserve">Zitiervorschlag: § 96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https://recht.nulegal.eu/gesetze/JustG%20NRW/96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