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JustG NRW (Nordrhein-Westfalen) — Beschwerde gegen Entscheidungen erster Instanz</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Gegen im ersten Rechtszug ergangene Endentscheidungen der Amtsgerichte und Landgerichte findet, sofern gesetzlich nichts anderes bestimmt ist, die Beschwerde statt. Über die Beschwerde entscheidet das Oberlandesgericht. Rechte Dritter, die auf Grund der angefochtenen Entscheidung erworben sind, werden durch die Abänderung der Entscheidung nicht beeinträchtigt.</w:t>
      </w:r>
    </w:p>
    <w:p>
      <w:r>
        <w:t xml:space="preserve">(2) Gegen im ersten Rechtszug durch das Oberlandesgericht erlassene Entscheidungen findet eine Beschwerde nicht statt.</w:t>
      </w:r>
    </w:p>
    <w:p>
      <w:r>
        <w:rPr>
          <w:color w:val="555555"/>
          <w:sz w:val="17"/>
        </w:rPr>
        <w:t xml:space="preserve">Zitiervorschlag: § 75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