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JustG NRW (Nordrhein-Westfalen) — Urkundliche Glaubhaftmachung; Zustellung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Antragsteller hat die Tatsachen, welche sein Recht zur Stellung des Antrags begründen, soweit sie nicht bei dem Gericht offenkundig sind, durch Urkunden glaubhaft zu machen.</w:t>
      </w:r>
    </w:p>
    <w:p>
      <w:r>
        <w:t xml:space="preserve">(2) Ist der Antrag von einem nach § 20 Absatz 3 des Bundesberggesetzes Berechtigten gestellt, so sind mit dem Beschluss, durch den die Zwangsversteigerung angeordnet wird, der Antrag und, wenn der Berechtigte nicht im Grundbuch eingetragen ist, die in Absatz 1 bezeichneten Urkunden dem Bergwerkseigentümer zuzustellen.</w:t>
      </w:r>
    </w:p>
    <w:p>
      <w:r>
        <w:rPr>
          <w:color w:val="555555"/>
          <w:sz w:val="17"/>
        </w:rPr>
        <w:t xml:space="preserve">Zitiervorschlag: § 65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https://recht.nulegal.eu/gesetze/JustG%20NRW/65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