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62 JustG NRW (Nordrhein-Westfalen) — Befreiung von Sicherheitsleistung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Sicherheitsleistung kann nicht verlangt werden bei einem Gebot</w:t>
      </w:r>
    </w:p>
    <w:p>
      <w:r>
        <w:t xml:space="preserve">1. einer Gemeinde oder eines Gemeindeverbandes,</w:t>
      </w:r>
    </w:p>
    <w:p>
      <w:r>
        <w:t xml:space="preserve">2. einer öffentlich-rechtlichen Kreditanstalt oder Sparkasse.</w:t>
      </w:r>
    </w:p>
    <w:p>
      <w:r>
        <w:rPr>
          <w:color w:val="555555"/>
          <w:sz w:val="17"/>
        </w:rPr>
        <w:t xml:space="preserve">Zitiervorschlag: § 62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https://recht.nulegal.eu/gesetze/JustG%20NRW/62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62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