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JustG NRW (Nordrhein-Westfalen) — Aktenführung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muss gewährleistet sein, dass die Gütestelle durch Anlegung von Handakten ein geordnetes Bild über die von ihr entfaltete Tätigkeit geben kann. In diesen Akten sind insbesondere zu dokumentieren</w:t>
      </w:r>
    </w:p>
    <w:p>
      <w:r>
        <w:t xml:space="preserve">1. der Zeitpunkt der Anbringung eines Güteantrags bei der Gütestelle, weiterer Verfahrenshandlungen der Parteien und der Gütestelle sowie der Beendigung des Güteverfahrens;</w:t>
      </w:r>
    </w:p>
    <w:p>
      <w:r>
        <w:t xml:space="preserve">2. der Inhalt eines zwischen den Parteien geschlossenen Vergleichs.</w:t>
      </w:r>
    </w:p>
    <w:p>
      <w:r>
        <w:t xml:space="preserve">(2) Die Gütestelle hat die Akten auf die Dauer von mindestens fünf Jahren nach Beendigung des Verfahrens aufzubewahren.</w:t>
      </w:r>
    </w:p>
    <w:p>
      <w:r>
        <w:t xml:space="preserve">(3) Innerhalb des in Absatz 2 genannten Zeitraums können die Parteien von der Gütestelle gegen Erstattung der hierdurch entstehenden Kosten beglaubigte Ablichtungen der Handakten und Ausfertigungen etwa geschlossener Vergleiche verlangen.</w:t>
      </w:r>
    </w:p>
    <w:p>
      <w:r>
        <w:t xml:space="preserve">(4) Die Gütestellen und ihre Mitarbeiterinnen und Mitarbeiter sind zur Verschwiegenheit über alles, was ihnen im Rahmen der Schlichtungstätigkeit bekannt geworden ist, verpflichtet.</w:t>
      </w:r>
    </w:p>
    <w:p>
      <w:r>
        <w:rPr>
          <w:color w:val="555555"/>
          <w:sz w:val="17"/>
        </w:rPr>
        <w:t xml:space="preserve">Zitiervorschlag: § 49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https://recht.nulegal.eu/gesetze/JustG%20NRW/49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