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43a JustG NRW (Nordrhein-Westfalen) — Übermittlung personenbezogener Daten</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Gerichte und Staatsanwaltschaften dürfen personenbezogene Daten über die von ihnen herangezogenen Sachverständigen von Amts wegen an die Kammern im Geltungsbereich dieses Gesetzes übermitteln, denen die Sachverständigen angehören oder von denen diese benannt oder öffentlich bestellt und vereidigt worden sind.</w:t>
      </w:r>
    </w:p>
    <w:p>
      <w:r>
        <w:t xml:space="preserve">(2) Eine Übermittlung nach Absatz 1 ist zulässig zur Erfüllung der den Kammern gegenüber ihren Angehörigen und bei der Benennung sowie öffentlichen Bestellung und Vereidigung von Sachverständigen obliegenden Aufgaben, wenn</w:t>
      </w:r>
    </w:p>
    <w:p>
      <w:r>
        <w:t xml:space="preserve">1. gegen die Sachverständigen ein Ordnungsgeld verhängt oder der Vergütungsanspruch nach § 8a des Justizvergütungs- und -entschädigungsgesetzes vom 5. Mai 2004 (BGBl. I S. 718, 776) in der jeweils geltenden Fassung entfallen oder beschränkt worden ist,</w:t>
      </w:r>
    </w:p>
    <w:p>
      <w:r>
        <w:t xml:space="preserve">2. Sachverständige die Pflichten nach den §§ 407, 407a, 411 Absatz 1 und 3 der Zivilprozessordnung sowie § 75 und § 72 in Verbindung mit § 48 Absatz 1 der Strafprozessordnung in der jeweils geltenden Fassung mehr als nur geringfügig verletzen oder</w:t>
      </w:r>
    </w:p>
    <w:p>
      <w:r>
        <w:t xml:space="preserve">3. Tatsachen vorliegen, die geeignet sind, Zweifel an der besonderen Sachkunde oder Eignung, insbesondere der unabhängigen, gewissenhaften und unparteilichen Leistungserbringung zu begründen.</w:t>
      </w:r>
    </w:p>
    <w:p>
      <w:r>
        <w:t xml:space="preserve">(3) Den Kammern können nach Maßgabe der Absätze 1 und 2 Vorgänge aus den Verfahrensakten übermittelt werden. Die für den Übermittlungszweck nicht erforderlichen personenbezogenen Daten sind zu anonymisieren, soweit dies keinen unverhältnismäßigen Aufwand erfordert.</w:t>
      </w:r>
    </w:p>
    <w:p>
      <w:r>
        <w:t xml:space="preserve">(4) Die §§ 18 bis 21 des Einführungsgesetzes zum Gerichtsverfassungsgesetz sind entsprechend anzuwenden, soweit Bundesrecht keine Regelungen enthält.</w:t>
      </w:r>
    </w:p>
    <w:p>
      <w:r>
        <w:t xml:space="preserve">Kapitel 2:</w:t>
      </w:r>
    </w:p>
    <w:p>
      <w:r>
        <w:t xml:space="preserve">Ordentliche Gerichtsbarkeit</w:t>
      </w:r>
    </w:p>
    <w:p>
      <w:r>
        <w:t xml:space="preserve">Abschnitt 1:</w:t>
      </w:r>
    </w:p>
    <w:p>
      <w:r>
        <w:t xml:space="preserve">Gütestellen und Schlichtung</w:t>
      </w:r>
    </w:p>
    <w:p>
      <w:r>
        <w:rPr>
          <w:color w:val="555555"/>
          <w:sz w:val="17"/>
        </w:rPr>
        <w:t xml:space="preserve">Zitiervorschlag: § 43a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https://recht.nulegal.eu/gesetze/JustG%20NRW/43a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