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JustG NRW (Nordrhein-Westfalen) — Behördenleitung</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Leitung der Arbeitsgerichte und der Amtsgerichte erfolgt vorbehaltlich des Absatzes 2 jeweils durch eine Direktorin oder einen Direktor. Die Leitung der übrigen Gerichte erfolgt jeweils durch eine Präsidentin oder einen Präsidenten. Die Generalstaatsanwaltschaften werden jeweils von einer Generalstaatsanwältin oder einem Generalstaatsanwalt geleitet, die Staatsanwaltschaften jeweils von einer Leitenden Oberstaatsanwältin oder einem Leitenden Oberstaatsanwalt.</w:t>
      </w:r>
    </w:p>
    <w:p>
      <w:r>
        <w:t xml:space="preserve">(2) Das für Justiz zuständige Ministerium trifft die Entscheidung darüber, ob ein Amtsgericht durch eine Präsidentin oder einen Präsidenten geleitet wird. In diesem Fall untersteht das Amtsgericht unmittelbar dem Oberlandesgericht.</w:t>
      </w:r>
    </w:p>
    <w:p>
      <w:r>
        <w:rPr>
          <w:color w:val="555555"/>
          <w:sz w:val="17"/>
        </w:rPr>
        <w:t xml:space="preserve">Zitiervorschlag: § 4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