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JustG NRW (Nordrhein-Westfalen) — Zuständigkeit</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Unbeschadet von Absatz 2 ist für die Aufgaben nach diesem Abschnitt die Präsidentin oder der Präsident des Oberlandesgerichts zuständig, in dessen Bezirk die Antragstellerin oder der Antragsteller ihren oder seinen Wohnsitz hat; in Ermangelung eines solchen ist die berufliche Niederlassung maßgebend. Hat die Antragstellerin oder der Antragsteller in Nordrhein-Westfalen weder einen Wohnsitz noch eine berufliche Niederlassung, ist die Präsidentin oder der Präsident des Oberlandesgerichts zuständig, in dessen Bezirk die Antragstellerin oder der Antragsteller ihre oder seine Tätigkeit vorwiegend ausüben möchte. Das Verfahren kann über eine einheitliche Stelle abgewickelt werden.</w:t>
      </w:r>
    </w:p>
    <w:p>
      <w:r>
        <w:t xml:space="preserve">(2) Für die Aufgaben nach § 33 Absatz 1 und § 35 Absatz 1 ist die Präsidentin oder der Präsident des Landgerichts zuständig; für die örtliche Zuständigkeit gilt Absatz 1 sinngemäß.</w:t>
      </w:r>
    </w:p>
    <w:p>
      <w:r>
        <w:rPr>
          <w:color w:val="555555"/>
          <w:sz w:val="17"/>
        </w:rPr>
        <w:t xml:space="preserve">Zitiervorschlag: § 36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