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JustG NRW (Nordrhein-Westfalen) — Geltung des Gerichtsverfassungsgesetzes für Schifffahrtsgerichte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finden in den Verfahren vor den Schifffahrtsgerichten entsprechende Anwendung</w:t>
      </w:r>
    </w:p>
    <w:p>
      <w:r>
        <w:t xml:space="preserve">1. die Bestimmungen über die Rechtshilfe gemäß §§ 156 bis 160 des Gerichtsverfassungsgesetzes,</w:t>
      </w:r>
    </w:p>
    <w:p>
      <w:r>
        <w:t xml:space="preserve">2. die Bestimmungen über die Öffentlichkeit und die Sitzungspolizei gemäß §§ 169 bis 183 des Gerichtsverfassungsgesetzes,</w:t>
      </w:r>
    </w:p>
    <w:p>
      <w:r>
        <w:t xml:space="preserve">3. die Bestimmungen über die Gerichtssprache gemäß §§ 184 bis 191a des Gerichtsverfassungsgesetzes,</w:t>
      </w:r>
    </w:p>
    <w:p>
      <w:r>
        <w:t xml:space="preserve">4. die Bestimmungen über Beratung und Abstimmung gemäß §§ 192 bis 197 des Gerichtsverfassungsgesetzes.</w:t>
      </w:r>
    </w:p>
    <w:p>
      <w:r>
        <w:t xml:space="preserve">Abschnitt 2:</w:t>
      </w:r>
    </w:p>
    <w:p>
      <w:r>
        <w:t xml:space="preserve">Übersetzerinnen und Übersetzer,</w:t>
      </w:r>
    </w:p>
    <w:p>
      <w:r>
        <w:t xml:space="preserve">Gebärdensprachdolmetscherinnen und Gebärdensprachdolmetscher</w:t>
      </w:r>
    </w:p>
    <w:p>
      <w:r>
        <w:rPr>
          <w:color w:val="555555"/>
          <w:sz w:val="17"/>
        </w:rPr>
        <w:t xml:space="preserve">Zitiervorschlag: § 32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