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JustG NRW (Nordrhein-Westfalen) — Änderung von Bezirksgrenzen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Werden durch die Änderung von Amtsgerichtsbezirksgrenzen die Grenzen von Landgerichtsbezirken oder Oberlandesgerichtsbezirken berührt, so bewirkt die Änderung der Amtsgerichtsbezirksgrenzen unmittelbar auch die Änderung der Landgerichts- und Oberlandesgerichtsbezirke sowie der Bezirke der Staatsanwaltschaften und Generalstaatsanwaltschaften.</w:t>
      </w:r>
    </w:p>
    <w:p>
      <w:r>
        <w:t xml:space="preserve">(2) Absatz 1 gilt entsprechend für die Änderung von Arbeitsgerichtsbezirksgrenzen.</w:t>
      </w:r>
    </w:p>
    <w:p>
      <w:r>
        <w:rPr>
          <w:color w:val="555555"/>
          <w:sz w:val="17"/>
        </w:rPr>
        <w:t xml:space="preserve">Zitiervorschlag: § 23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