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JustG NRW (Nordrhein-Westfalen) — Zuständigkeitskonzentration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Zoll- und Verbrauchsteuerangelegenheiten sowie Angelegenheiten der Gemeinsamen Marktorganisationen, für die der Finanzrechtsweg eröffnet ist, werden ausschließlich dem Finanzgericht Düsseldorf zugewiesen.</w:t>
      </w:r>
    </w:p>
    <w:p>
      <w:r>
        <w:t xml:space="preserve">Abschnitt 5:</w:t>
      </w:r>
    </w:p>
    <w:p>
      <w:r>
        <w:t xml:space="preserve">Sozialgerichte</w:t>
      </w:r>
    </w:p>
    <w:p>
      <w:r>
        <w:rPr>
          <w:color w:val="555555"/>
          <w:sz w:val="17"/>
        </w:rPr>
        <w:t xml:space="preserve">Zitiervorschlag: § 19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