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JustG NRW (Nordrhein-Westfalen) — Finanzgerichte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Finanzgerichte haben ihren Sitz</w:t>
      </w:r>
    </w:p>
    <w:p>
      <w:r>
        <w:t xml:space="preserve">1. in Düsseldorf für den Regierungsbezirk Düsseldorf,</w:t>
      </w:r>
    </w:p>
    <w:p>
      <w:r>
        <w:t xml:space="preserve">2. in Köln für den Regierungsbezirk Köln,</w:t>
      </w:r>
    </w:p>
    <w:p>
      <w:r>
        <w:t xml:space="preserve">3. in Münster für die Regierungsbezirke Arnsberg, Detmold und Münster.</w:t>
      </w:r>
    </w:p>
    <w:p>
      <w:r>
        <w:rPr>
          <w:color w:val="555555"/>
          <w:sz w:val="17"/>
        </w:rPr>
        <w:t xml:space="preserve">Zitiervorschlag: § 18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