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131 JustG NRW (Nordrhein-Westfalen) — Bekanntmachung von Inhaberpapier-Verlusten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Bekanntmachung des Verlustes eines Inhaberpapiers nach § 367 des Handelsgesetzbuchs sind die Polizeibehörden auf Antrag der Eigentümerin oder des Eigentümers verpflichtet, wenn glaubhaft gemacht wird, dass das Papier der Eigentümerin oder dem Eigentümer gestohlen worden, verloren gegangen oder sonst abhanden gekommen ist. Die Kosten der Bekanntmachung hat die antragstellende Person zu tragen und auf Anforderung vorzuschießen.</w:t>
      </w:r>
    </w:p>
    <w:p>
      <w:r>
        <w:t xml:space="preserve">Teil 6:</w:t>
      </w:r>
    </w:p>
    <w:p>
      <w:r>
        <w:t xml:space="preserve">Schlussbestimmungen</w:t>
      </w:r>
    </w:p>
    <w:p>
      <w:r>
        <w:rPr>
          <w:color w:val="555555"/>
          <w:sz w:val="17"/>
        </w:rPr>
        <w:t xml:space="preserve">Zitiervorschlag: § 131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131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