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JustG NRW (Nordrhein-Westfalen) — Staatsanwaltschaft</w:t>
      </w:r>
    </w:p>
    <w:p>
      <w:r>
        <w:rPr>
          <w:color w:val="555555"/>
          <w:sz w:val="18"/>
        </w:rPr>
        <w:t xml:space="preserve">Justizgesetz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Staatsanwaltschaften bestehen am Sitz der Oberlandesgerichte und am Sitz der Landgerichte. Die Staatsanwaltschaften bei den Oberlandesgerichten führen die Bezeichnung „Generalstaatsanwaltschaft“.</w:t>
      </w:r>
    </w:p>
    <w:p>
      <w:r>
        <w:t xml:space="preserve">(2) Die Staatsanwaltschaften bei den Landgerichten nehmen auch die staatsanwaltlichen Geschäfte bei den Amtsgerichten ihres Bezirks wahr.</w:t>
      </w:r>
    </w:p>
    <w:p>
      <w:r>
        <w:t xml:space="preserve">Abschnitt 2:</w:t>
      </w:r>
    </w:p>
    <w:p>
      <w:r>
        <w:t xml:space="preserve">Arbeitsgerichte</w:t>
      </w:r>
    </w:p>
    <w:p>
      <w:r>
        <w:rPr>
          <w:color w:val="555555"/>
          <w:sz w:val="17"/>
        </w:rPr>
        <w:t xml:space="preserve">Zitiervorschlag: § 13 JustG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https://recht.nulegal.eu/gesetze/JustG%20NRW/13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