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JustG NRW (Nordrhein-Westfalen) — Zuständigkeitskonzentrationen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Oberlandesgericht in Hamm werden folgende Entscheidungen für das Land Nordrhein-Westfalen übertragen:</w:t>
      </w:r>
    </w:p>
    <w:p>
      <w:r>
        <w:t xml:space="preserve">1. die nach § 25 Absatz 1 des Einführungsgesetzes zum Gerichtsverfassungsgesetz den Strafsenaten zugewiesenen Entscheidungen;</w:t>
      </w:r>
    </w:p>
    <w:p>
      <w:r>
        <w:t xml:space="preserve">2. die Beschwerdeentscheidungen betreffend die Aussetzung des Strafrestes bei lebens-langer Freiheitsstrafe.</w:t>
      </w:r>
    </w:p>
    <w:p>
      <w:r>
        <w:rPr>
          <w:color w:val="555555"/>
          <w:sz w:val="17"/>
        </w:rPr>
        <w:t xml:space="preserve">Zitiervorschlag: § 12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