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116 JustG NRW (Nordrhein-Westfalen) — Verfahren in Justizverwaltungsangelegenheiten</w:t>
      </w:r>
    </w:p>
    <w:p>
      <w:r>
        <w:rPr>
          <w:color w:val="555555"/>
          <w:sz w:val="18"/>
        </w:rPr>
        <w:t xml:space="preserve">Justizgesetz Nordrhein-Westfalen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Soweit sich aus den nachfolgenden Bestimmungen nichts Abweichendes ergibt, gelten in Verfahren in Justizverwaltungsangelegenheiten die §§ 9 bis 52 des Verwaltungsverfahrensgesetzes für das Land Nordrhein-Westfalen entsprechend. Dies gilt nicht für Anordnungen, Verfügungen oder sonstige Maßnahmen, die von Justizbehörden zur Regelung einzelner Angelegenheiten auf dem Gebiet der Strafrechtspflege getroffen werden.</w:t>
      </w:r>
    </w:p>
    <w:p>
      <w:r>
        <w:t xml:space="preserve">(2) Die Gliederung der Gerichtsbezirke für Justizverwaltungssachen und damit in Zusammenhang stehende Angelegenheiten bestimmt sich nach § 21 dieses Gesetzes.</w:t>
      </w:r>
    </w:p>
    <w:p>
      <w:r>
        <w:rPr>
          <w:color w:val="555555"/>
          <w:sz w:val="17"/>
        </w:rPr>
        <w:t xml:space="preserve">Zitiervorschlag: § 116 JustG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https://recht.nulegal.eu/gesetze/JustG%20NRW/116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