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113 JustG NRW (Nordrhein-Westfalen) — Eröffnung des Finanzrechtswegs durch Landesgesetz</w:t>
      </w:r>
    </w:p>
    <w:p>
      <w:r>
        <w:rPr>
          <w:color w:val="555555"/>
          <w:sz w:val="18"/>
        </w:rPr>
        <w:t xml:space="preserve">Justizgesetz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Finanzrechtsweg ist auch gegeben in öffentlich-rechtlichen Streitigkeiten über Abgabenangelegenheiten, die der Gesetzgebung des Bundes nicht unterliegen und durch Landesfinanzbehörden verwaltet werden. Das Gleiche gilt für Kosten (Gebühren und Auslagen), die von Landesfinanzbehörden für Amtshandlungen im Vollzug der Abgabenordnung und auf dem Gebiet der Steuerberatung auf Grund landesrechtlicher Kostenvorschriften erhoben werden.</w:t>
      </w:r>
    </w:p>
    <w:p>
      <w:r>
        <w:t xml:space="preserve">Kapitel 5:</w:t>
      </w:r>
    </w:p>
    <w:p>
      <w:r>
        <w:t xml:space="preserve">Sozialgerichtsbarkeit</w:t>
      </w:r>
    </w:p>
    <w:p>
      <w:r>
        <w:rPr>
          <w:color w:val="555555"/>
          <w:sz w:val="17"/>
        </w:rPr>
        <w:t xml:space="preserve">Zitiervorschlag: § 113 JustG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https://recht.nulegal.eu/gesetze/JustG%20NRW/113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