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103 JustG NRW (Nordrhein-Westfalen) — Anwendbarkeit von erbbaurechtlichen Vorschriften</w:t>
      </w:r>
    </w:p>
    <w:p>
      <w:r>
        <w:rPr>
          <w:color w:val="555555"/>
          <w:sz w:val="18"/>
        </w:rPr>
        <w:t xml:space="preserve">Justizgesetz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für das Erbbaurecht geltenden Vorschriften des § 20 und des § 22 Absatz 2 der Grundbuchordnung finden auf das Bergwerkseigentum, auf unbewegliche Bergwerksanteile und selbstständige Gerechtigkeiten entsprechende Anwendung.</w:t>
      </w:r>
    </w:p>
    <w:p>
      <w:r>
        <w:rPr>
          <w:color w:val="555555"/>
          <w:sz w:val="17"/>
        </w:rPr>
        <w:t xml:space="preserve">Zitiervorschlag: § 103 JustG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https://recht.nulegal.eu/gesetze/JustG%20NRW/103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