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100 JustG NRW (Nordrhein-Westfalen) — Aufhebung von Bergwerkseigentum oder Verleihungsurkunden</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das Bergwerkseigentum oder die Verleihungsurkunde aufgehoben, so hat die zuständige Behörde das Grundbuchamt unter Mitteilung einer Ausfertigung der Aufhebungsentscheidung um die Schließung des über das Bergwerk geführten Grundbuchblatts zu ersuchen.</w:t>
      </w:r>
    </w:p>
    <w:p>
      <w:r>
        <w:t xml:space="preserve">(2) Bei der Schließung sind die eingetragenen Belastungen von Amts wegen zu löschen.</w:t>
      </w:r>
    </w:p>
    <w:p>
      <w:r>
        <w:t xml:space="preserve">(3) Grundstücke, die dem Bergwerk als Bestandteil zugeschrieben sind, werden mit den darauf haftenden Belastungen in das über die Grundstücke ihres Bezirks geführte Grundbuch eingetragen.</w:t>
      </w:r>
    </w:p>
    <w:p>
      <w:r>
        <w:rPr>
          <w:color w:val="555555"/>
          <w:sz w:val="17"/>
        </w:rPr>
        <w:t xml:space="preserve">Zitiervorschlag: § 100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https://recht.nulegal.eu/gesetze/JustG%20NRW/100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100 JustG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