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JusWidZV (Brandenburg) — Übergangsvorschrift</w:t>
      </w:r>
    </w:p>
    <w:p>
      <w:r>
        <w:rPr>
          <w:color w:val="555555"/>
          <w:sz w:val="18"/>
        </w:rPr>
        <w:t xml:space="preserve">Widerspruchszuständigkeitsverordnung Justiz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im Zeitpunkt des Inkrafttretens dieser Verordnung anhängigen gerichtlichen Verfahren verbleibt die Vertretungsbefugnis bei der bisher zuständigen Stelle.</w:t>
      </w:r>
    </w:p>
    <w:p>
      <w:r>
        <w:rPr>
          <w:color w:val="555555"/>
          <w:sz w:val="17"/>
        </w:rPr>
        <w:t xml:space="preserve">Zitiervorschlag: § 3 JusWidZV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https://recht.nulegal.eu/gesetze/JusWidZV/3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