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JusWidZV (Brandenburg) — Befugnis zum Erlaß von Widerspruchsbescheiden</w:t>
      </w:r>
    </w:p>
    <w:p>
      <w:r>
        <w:rPr>
          <w:color w:val="555555"/>
          <w:sz w:val="18"/>
        </w:rPr>
        <w:t xml:space="preserve">Widerspruchszuständigkeitsverordnung Justiz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Zuständigkeit für den Erlaß von Widerspruchsbescheiden in Beihilfe- und Besoldungsangelegenheiten der Beamten und Richter, Ruhestandsbeamten und Richter im Ruhestand, früheren Beamten und Richter im Geschäftsbereich des Ministeriums der Justiz und für Bundes- und Europaangelegenheiten sowie deren Hinterbliebenen wird auf die Oberfinanzdirektion Cottbus - Zentrale Bezügestelle des Landes Brandenburg - übertragen, soweit diese die mit dem Widerspruch angegriffene Maßnahme getroffen hat.</w:t>
      </w:r>
    </w:p>
    <w:p>
      <w:r>
        <w:rPr>
          <w:color w:val="555555"/>
          <w:sz w:val="17"/>
        </w:rPr>
        <w:t xml:space="preserve">Zitiervorschlag: § 1 JusWidZV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https://recht.nulegal.eu/gesetze/JusWidZV/1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