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JusDKIVO (Sachsen)</w:t>
      </w:r>
    </w:p>
    <w:p>
      <w:r>
        <w:rPr>
          <w:color w:val="555555"/>
          <w:sz w:val="18"/>
        </w:rPr>
        <w:t xml:space="preserve">Justizdienstkleidungsverordnung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155 Abs. 2 Satz 2 und § 155a des Beamtengesetzes für den Freistaat Sachsen (Sächsisches Beamtengesetz – SächsBG) in der Fassung der Bekanntmachung vom 12. Mai 2009 (SächsGVBl. S. 194), das zuletzt durch Artikel 12 des Gesetzes vom 27. Januar 2012 (SächsGVBl. S. 130, 140) geändert worden ist, wird im Einvernehmen mit dem Staatsministerium der Finanzen verordnet:</w:t>
      </w:r>
    </w:p>
    <w:p>
      <w:r>
        <w:rPr>
          <w:color w:val="555555"/>
          <w:sz w:val="17"/>
        </w:rPr>
        <w:t xml:space="preserve">Zitiervorschlag: Eingangsformel JusDKIVO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https://recht.nulegal.eu/gesetze/JusDKIVO/eingangsformel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