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JusDKIVO (Sachsen) — Verwaltungsvorschriften</w:t>
      </w:r>
    </w:p>
    <w:p>
      <w:r>
        <w:rPr>
          <w:color w:val="555555"/>
          <w:sz w:val="18"/>
        </w:rPr>
        <w:t xml:space="preserve">Justizdienstkleidungsverordnung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Staatsministerium der Justiz und für Europa regelt im Einvernehmen mit dem Staatsministerium der Finanzen den Umfang der Grundausstattung, die Pflicht zum Tragen der Dienstkleidung sowie die Verwaltungs- und Auszahlungsverfahren betreffend das Guthaben auf dem Bekleidungskonto, das Pflegegeld sowie den Dienstkleidungszuschuss.</w:t>
      </w:r>
    </w:p>
    <w:p>
      <w:r>
        <w:rPr>
          <w:color w:val="555555"/>
          <w:sz w:val="17"/>
        </w:rPr>
        <w:t xml:space="preserve">Zitiervorschlag: § 6 JusDKIVO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https://recht.nulegal.eu/gesetze/JusDKIVO/6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