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JurVDKpV (Brandenburg) — Rangfolge nach Leistung</w:t>
      </w:r>
    </w:p>
    <w:p>
      <w:r>
        <w:rPr>
          <w:color w:val="555555"/>
          <w:sz w:val="18"/>
        </w:rPr>
        <w:t xml:space="preserve">Juristische Kapazitätsverordnung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Reihenfolge der Auswahl nach Leistung (§ 11 Abs. 3 Satz 1 des Brandenburgischen Juristenausbildungsgesetzes) richtet sich nach der Prüfungsgesamtnote der ersten juristischen Prüfung oder der ersten juristischen Staatsprüfung.</w:t>
      </w:r>
    </w:p>
    <w:p>
      <w:r>
        <w:t xml:space="preserve">(2) Bei gleicher Leistung entscheidet die längere Wartezeit (§ 7); bei gleicher Wartezeit entscheidet das Los.</w:t>
      </w:r>
    </w:p>
    <w:p>
      <w:r>
        <w:rPr>
          <w:color w:val="555555"/>
          <w:sz w:val="17"/>
        </w:rPr>
        <w:t xml:space="preserve">Zitiervorschlag: § 5 JurVDKpV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https://recht.nulegal.eu/gesetze/JurVDKpV/5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JurVDKpV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