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JurPrNotSkV — Übergangsvorschrift</w:t>
      </w:r>
    </w:p>
    <w:p>
      <w:r>
        <w:rPr>
          <w:color w:val="555555"/>
          <w:sz w:val="18"/>
        </w:rPr>
        <w:t xml:space="preserve">Verordnung über eine Noten- und Punkteskala für die erste und zweite juristische Prüfung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§§ 1 und 2 sind auf Prüfungen anzuwenden, die nach dem 1. Januar 1983 begonnen werden, soweit nicht das Landesrecht einen früheren Zeitpunkt für die Anwendung bestimmt. Das Ablegen von Prüfungsleistungen nach § 5d Abs. 3 des Deutschen Richtergesetzes gilt nicht als Beginn der Prüfung.</w:t>
      </w:r>
    </w:p>
    <w:p>
      <w:r>
        <w:t xml:space="preserve">(2) Für Wiederholungsprüfungen kann das Landesrecht abweichende Regelungen vorsehen.</w:t>
      </w:r>
    </w:p>
    <w:p>
      <w:r>
        <w:rPr>
          <w:color w:val="555555"/>
          <w:sz w:val="17"/>
        </w:rPr>
        <w:t xml:space="preserve">Zitiervorschlag: § 3 JurPrNotSkV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https://recht.nulegal.eu/gesetze/JurPrNotSkV/3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