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JudDenkmStiftG — Organe der Stiftung</w:t>
      </w:r>
    </w:p>
    <w:p>
      <w:r>
        <w:rPr>
          <w:color w:val="555555"/>
          <w:sz w:val="18"/>
        </w:rPr>
        <w:t xml:space="preserve">Gesetz zur Errichtung einer "Stiftung Denkmal für die ermordeten Juden Europas"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Organe der Stiftung sind:</w:t>
      </w:r>
    </w:p>
    <w:p>
      <w:pPr>
        <w:ind w:left="420"/>
      </w:pPr>
      <w:r>
        <w:t xml:space="preserve">1. das Kuratorium,</w:t>
      </w:r>
    </w:p>
    <w:p>
      <w:pPr>
        <w:ind w:left="420"/>
      </w:pPr>
      <w:r>
        <w:t xml:space="preserve">2. der Direktor oder die Direktorin und</w:t>
      </w:r>
    </w:p>
    <w:p>
      <w:pPr>
        <w:ind w:left="420"/>
      </w:pPr>
      <w:r>
        <w:t xml:space="preserve">3. der Beirat.</w:t>
      </w:r>
    </w:p>
    <w:p>
      <w:r>
        <w:rPr>
          <w:color w:val="555555"/>
          <w:sz w:val="17"/>
        </w:rPr>
        <w:t xml:space="preserve">Zitiervorschlag: § 4 JudDenkmStiftG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https://recht.nulegal.eu/gesetze/JudDenkmStiftG/4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