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JubVÄndV 4</w:t>
      </w:r>
    </w:p>
    <w:p>
      <w:r>
        <w:rPr>
          <w:color w:val="555555"/>
          <w:sz w:val="18"/>
        </w:rPr>
        <w:t xml:space="preserve">Vierte Verordnung zur Änderung der Verordnung über die Gewährung von Jubiläumszuwendungen an Beamte und Richter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80b des Bundesbeamtengesetzes in der Fassung der Bekanntmachung vom 27. Februar 1985 (BGBl. I S. 479) und des § 46 des Deutschen Richtergesetzes in der Fassung der Bekanntmachung vom 19. April 1972 (BGBl. I S. 713) verordnet die Bundesregierung:</w:t>
      </w:r>
    </w:p>
    <w:p>
      <w:r>
        <w:rPr>
          <w:color w:val="555555"/>
          <w:sz w:val="17"/>
        </w:rPr>
        <w:t xml:space="preserve">Zitiervorschlag: Eingangsformel JubVÄndV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https://recht.nulegal.eu/gesetze/JubV%C3%84ndV%204/eingangsformel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JubVÄndV 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