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JuZuVO (Nordrhein-Westfalen) — Familiensachen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Familiensachen werden zugewiesen:</w:t>
      </w:r>
    </w:p>
    <w:p>
      <w:r>
        <w:t xml:space="preserve">1. dem Amtsgericht Brilon</w:t>
      </w:r>
    </w:p>
    <w:p>
      <w:r>
        <w:t xml:space="preserve">für die Amtsgerichtsbezirke Brilon und Medebach,</w:t>
      </w:r>
    </w:p>
    <w:p>
      <w:r>
        <w:t xml:space="preserve">2. dem Amtsgericht Lüdenscheid</w:t>
      </w:r>
    </w:p>
    <w:p>
      <w:r>
        <w:t xml:space="preserve">für die Amtsgerichtsbezirke Lüdenscheid und Meinerzhagen,</w:t>
      </w:r>
    </w:p>
    <w:p>
      <w:r>
        <w:t xml:space="preserve">3. dem Amtsgericht Meschede</w:t>
      </w:r>
    </w:p>
    <w:p>
      <w:r>
        <w:t xml:space="preserve">für die Amtsgerichtsbezirke Meschede und Schmallenberg.</w:t>
      </w:r>
    </w:p>
    <w:p>
      <w:r>
        <w:t xml:space="preserve">(2) Für Familiensachen, die vor Inkrafttreten dieser Verordnung anhängig geworden sind, verbleibt es bei der bisherigen Zuständigkeit.</w:t>
      </w:r>
    </w:p>
    <w:p>
      <w:r>
        <w:rPr>
          <w:color w:val="555555"/>
          <w:sz w:val="17"/>
        </w:rPr>
        <w:t xml:space="preserve">Zitiervorschlag: § 7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