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JuZuVO (Nordrhein-Westfalen) — Durchsuchungsanordnungen und Freiheitsentziehungssachen nach demAufenthaltsgesetz</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Amtsgerichte, denen nach § 37 Absatz 1 Nummer 3 die Strafrichterhaftsachen zugewiesen sind, sind auch zuständig</w:t>
      </w:r>
    </w:p>
    <w:p>
      <w:r>
        <w:t xml:space="preserve">1. für richterliche Anordnungen nach § 48 Absatz 3 Satz 3 und § 58 Absatz 8 des Aufenthaltsgesetzes in der Fassung der Bekanntmachung vom 25. Februar 2008 (BGBl. I S. 162) in der jeweils geltenden Fassung,</w:t>
      </w:r>
    </w:p>
    <w:p>
      <w:r>
        <w:t xml:space="preserve">2. für gerichtliche Verfahren bei Freiheitsentziehungen nach § 15 Absatz 5, § 57 Absatz 3, den §§ 62, 62b und 62c in Verbindung mit § 106 Absatz 2 des Aufenthaltsgesetzes und nach Artikel 28 Absatz 2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(ABI. L 180 vom 29.6.2013, S. 31; L 49 vom 25.2.2017, S. 50) in Verbindung mit § 2 Absatz 14 des Aufenthaltsgesetzes.</w:t>
      </w:r>
    </w:p>
    <w:p>
      <w:r>
        <w:t xml:space="preserve">(2) In Abweichung von der Zuständigkeitsregelung in Absatz 1 werden die darin genannten Verfahren zugewiesen</w:t>
      </w:r>
    </w:p>
    <w:p>
      <w:r>
        <w:t xml:space="preserve">1. für die Bezirke der Amtsgerichte Herne und Herne-Wanne</w:t>
      </w:r>
    </w:p>
    <w:p>
      <w:r>
        <w:t xml:space="preserve">dem Amtsgericht Herne,</w:t>
      </w:r>
    </w:p>
    <w:p>
      <w:r>
        <w:t xml:space="preserve">2. für die Bezirke der Amtsgerichte Rheine, Steinfurt, Ibbenbüren und Tecklenburg</w:t>
      </w:r>
    </w:p>
    <w:p>
      <w:r>
        <w:t xml:space="preserve">dem Amtsgericht Rheine,</w:t>
      </w:r>
    </w:p>
    <w:p>
      <w:r>
        <w:t xml:space="preserve">3. für die Bezirke der Amtsgerichte Ahaus, Borken und Gronau (Westf.)</w:t>
      </w:r>
    </w:p>
    <w:p>
      <w:r>
        <w:t xml:space="preserve">dem Amtsgericht Borken,</w:t>
      </w:r>
    </w:p>
    <w:p>
      <w:r>
        <w:t xml:space="preserve">4. für die Bezirke der Amtsgerichte Ahlen, Beckum und Warendorf</w:t>
      </w:r>
    </w:p>
    <w:p>
      <w:r>
        <w:t xml:space="preserve">dem Amtsgericht Ahlen,</w:t>
      </w:r>
    </w:p>
    <w:p>
      <w:r>
        <w:t xml:space="preserve">5. für die Bezirke der Amtsgerichte Aachen, Eschweiler und Monschau</w:t>
      </w:r>
    </w:p>
    <w:p>
      <w:r>
        <w:t xml:space="preserve">dem Amtsgericht Aachen,</w:t>
      </w:r>
    </w:p>
    <w:p>
      <w:r>
        <w:t xml:space="preserve">6. für die Bezirke der Amtsgerichte Brilon, Medebach, Marsberg, Meschede und Schmallenberg</w:t>
      </w:r>
    </w:p>
    <w:p>
      <w:r>
        <w:t xml:space="preserve">dem Amtsgericht Meschede,</w:t>
      </w:r>
    </w:p>
    <w:p>
      <w:r>
        <w:t xml:space="preserve">7. für die Bezirke der Amtsgerichte Gummersbach und Wipperfürth</w:t>
      </w:r>
    </w:p>
    <w:p>
      <w:r>
        <w:t xml:space="preserve">dem Amtsgericht Gummersbach.</w:t>
      </w:r>
    </w:p>
    <w:p>
      <w:r>
        <w:t xml:space="preserve">Teil 5</w:t>
      </w:r>
    </w:p>
    <w:p>
      <w:r>
        <w:t xml:space="preserve">Schlussvorschriften</w:t>
      </w:r>
    </w:p>
    <w:p>
      <w:r>
        <w:rPr>
          <w:color w:val="555555"/>
          <w:sz w:val="17"/>
        </w:rPr>
        <w:t xml:space="preserve">Zitiervorschlag: § 45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