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JuZuVO (Nordrhein-Westfalen) — Steuerordnungswidrigkeiten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dem Gesetz über Ordnungswidrigkeiten in Verbindung mit den §§ 409 bis 412 der Abgabenordnung in der Fassung der Bekanntmachung vom 1. Oktober 2002 (BGBl. I S. 3866; 2003 I S. 61) in der jeweils geltenden Fassung den Amtsgerichten übertragenen Entscheidungen obliegen bei Steuerordnungswidrigkeiten, die von den Finanzämtern des Landes Nordrhein-Westfalen verfolgt und geahndet werden, den Amtsgerichten, in deren Bezirk die Landgerichte ihren Sitz haben, jeweils für den Bezirk des Landgerichts.</w:t>
      </w:r>
    </w:p>
    <w:p>
      <w:r>
        <w:t xml:space="preserve">(2) Die Zuständigkeit des Amtsgerichts bestimmt sich nach dem Ort, an dem der Betroffene seinen Wohnsitz oder mangels eines Wohnsitzes in Nordrhein-Westfalen seinen gewöhnlichen Aufenthaltsort hat. Maßgebend ist</w:t>
      </w:r>
    </w:p>
    <w:p>
      <w:r>
        <w:t xml:space="preserve">1. bei Entscheidungen, die vor Erlass eines Bußgeldbescheides beantragt werden, der Wohnsitz oder der gewöhnliche Aufenthaltsort zur Zeit der Antragstellung,</w:t>
      </w:r>
    </w:p>
    <w:p>
      <w:r>
        <w:t xml:space="preserve">2. in allen übrigen Fällen der Wohnsitz oder der gewöhnliche Aufenthaltsort zur Zeit der Zustellung des Bußgeldbescheides.</w:t>
      </w:r>
    </w:p>
    <w:p>
      <w:r>
        <w:t xml:space="preserve">(3) Liegen weder der Wohnsitz noch der gewöhnliche Aufenthaltsort des Betroffenen zu den nach Absatz 2 maßgebenden Zeitpunkten im Land Nordrhein-Westfalen, so richtet sich die Zuständigkeit des Gerichts nach dem Ort, an dem die Steuerordnungswidrigkeit begangen worden ist. Ist auch hiernach kein Amtsgericht in Nordrhein-Westfalen zuständig, so obliegt die Entscheidung dem Amtsgericht aus dem Bezirk des Landgerichts, in dem das Finanzamt seinen Sitz hat.</w:t>
      </w:r>
    </w:p>
    <w:p>
      <w:r>
        <w:rPr>
          <w:color w:val="555555"/>
          <w:sz w:val="17"/>
        </w:rPr>
        <w:t xml:space="preserve">Zitiervorschlag: § 40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