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JuZuVO (Nordrhein-Westfalen) — Verkehrsordnungswidrigkeiten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in der Anlage 3 aufgeführten Amtsgerichten obliegt in Bußgeldverfahren wegen Ordnungswidrigkeiten nach den §§ 24 bis 24c des Straßenverkehrsgesetzes in der Fassung der Bekanntmachung vom 5. März 2003 (BGBl. I S. 310, 919) in der jeweils geltenden Fassung die Entscheidung bei Einsprüchen gegen Bußgeldbescheide, die von den dort genannten Kreisen und kreisfreien Städten erlassen worden sind.</w:t>
      </w:r>
    </w:p>
    <w:p>
      <w:r>
        <w:t xml:space="preserve">(2) Die Zuständigkeit der in der Anlage 3 aufgeführten Amtsgerichte in den in Absatz 1 genannten Bußgeldverfahren ist gegeben, wenn</w:t>
      </w:r>
    </w:p>
    <w:p>
      <w:r>
        <w:t xml:space="preserve">1. die Ordnungswidrigkeit oder eine der Ordnungswidrigkeiten in den jeweils genannten Gebietsteilen begangen worden ist oder</w:t>
      </w:r>
    </w:p>
    <w:p>
      <w:r>
        <w:t xml:space="preserve">2. der Betroffene seinen Wohnsitz oder mangels eines Wohnsitzes in Nordrhein-Westfalen seinen gewöhnlichen Aufenthalt in diesen Gebietsteilen hat.</w:t>
      </w:r>
    </w:p>
    <w:p>
      <w:r>
        <w:t xml:space="preserve">(3) Lässt die gerichtliche Zuständigkeit sich nicht nach den Absätzen 1 und 2 bestimmen, so obliegt die Entscheidung dem nach § 68 Absatz 1 des Gesetzes über Ordnungswidrigkeiten zuständigen Amtsgericht.</w:t>
      </w:r>
    </w:p>
    <w:p>
      <w:r>
        <w:rPr>
          <w:color w:val="555555"/>
          <w:sz w:val="17"/>
        </w:rPr>
        <w:t xml:space="preserve">Zitiervorschlag: § 39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