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JuZuVO (Nordrhein-Westfalen) — Entschädigungssachen</w:t>
      </w:r>
    </w:p>
    <w:p>
      <w:r>
        <w:rPr>
          <w:color w:val="555555"/>
          <w:sz w:val="18"/>
        </w:rPr>
        <w:t xml:space="preserve">Justizzuständigkeitsverordnung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zur Zuständigkeit der Landgerichte gehörenden Entschädigungssachen, einschließlich der Verfahren nach den Artikeln V und VI des BEG-Schlußgesetzes vom 14. September 1965 (BGBl. I S. 1315) in der jeweils geltenden Fassung, werden auf das Landgericht Düsseldorf übertragen. Die zur Zuständigkeit der Oberlandesgerichte gehörenden Entschädigungssachen, einschließlich der Verfahren nach den Artikeln V und VI des BEG-Schlußgesetzes, werden auf das Oberlandesgericht Düsseldorf übertragen.</w:t>
      </w:r>
    </w:p>
    <w:p>
      <w:r>
        <w:t xml:space="preserve">(2) Für Verfahren, die vor Inkrafttreten dieser Verordnung anhängig geworden sind, verbleibt es bei der bisherigen Zuständigkeit.</w:t>
      </w:r>
    </w:p>
    <w:p>
      <w:r>
        <w:rPr>
          <w:color w:val="555555"/>
          <w:sz w:val="17"/>
        </w:rPr>
        <w:t xml:space="preserve">Zitiervorschlag: § 33 JuZuVO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https://recht.nulegal.eu/gesetze/JuZuVO/33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