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JuZuVO (Nordrhein-Westfalen) — Rechtshilfe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Als Zentralstelle und als zuständige Stelle im Sinne des § 1069 Absatz 3 Satz 1 und des § 1074 Absatz 3 Satz 1 Nummer 1 und 2 der Zivilprozessordnung wird für das Land Nordrhein-Westfalen die Präsidentin oder der Präsident des Oberlandesgerichts Düsseldorf bestimmt. Die Zuständigkeit der Zentralstelle erstreckt sich auch auf Ersuchen in arbeitsgerichtlichen Angelegenheiten.</w:t>
      </w:r>
    </w:p>
    <w:p>
      <w:r>
        <w:t xml:space="preserve">(2) Als Kontaktstelle im Sinne des Artikels 2 der Entscheidung 2001/470/EG des Rates vom 28. Mai 2001 über die Einrichtung eines Europäischen Justiziellen Netzes für Zivil- und Handelssachen (ABl. L 174 vom 27.6.2001, S. 25), die durch die Entscheidung Nr. 568/2009/EG (ABl. L 168 vom 30.6.2009, S. 35) geändert worden ist, wird für das Land Nordrhein-Westfalen die Präsidentin oder der Präsident des Oberlandesgerichts Düsseldorf bestimmt. Die Zuständigkeit der Kontaktstelle erstreckt sich auch auf arbeitsgerichtliche Angelegenheiten.</w:t>
      </w:r>
    </w:p>
    <w:p>
      <w:r>
        <w:t xml:space="preserve">(3) Die Aufgaben der Empfangsstelle im Sinne von § 1069 Absatz 2 Satz 1 der Zivilprozessordnung werden zugewiesen</w:t>
      </w:r>
    </w:p>
    <w:p>
      <w:r>
        <w:t xml:space="preserve">1. dem Amtsgericht Duisburg</w:t>
      </w:r>
    </w:p>
    <w:p>
      <w:r>
        <w:t xml:space="preserve">für die Amtsgerichtsbezirke Duisburg, Duisburg-Hamborn und Duisburg-Ruhrort,</w:t>
      </w:r>
    </w:p>
    <w:p>
      <w:r>
        <w:t xml:space="preserve">2. dem Amtsgericht Essen</w:t>
      </w:r>
    </w:p>
    <w:p>
      <w:r>
        <w:t xml:space="preserve">für die Amtsgerichtsbezirke Essen, Essen-Borbeck und Essen-Steele,</w:t>
      </w:r>
    </w:p>
    <w:p>
      <w:r>
        <w:t xml:space="preserve">3. dem Amtsgericht Herne</w:t>
      </w:r>
    </w:p>
    <w:p>
      <w:r>
        <w:t xml:space="preserve">für die Amtsgerichtsbezirke Herne und Herne-Wanne,</w:t>
      </w:r>
    </w:p>
    <w:p>
      <w:r>
        <w:t xml:space="preserve">4. dem Amtsgericht Mönchengladbach</w:t>
      </w:r>
    </w:p>
    <w:p>
      <w:r>
        <w:t xml:space="preserve">für die Amtsgerichtsbezirke Mönchengladbach und Mönchengladbach-Rheydt.</w:t>
      </w:r>
    </w:p>
    <w:p>
      <w:r>
        <w:t xml:space="preserve">(4) Die Aufgaben des ersuchten Gerichts im Sinne von § 1074 Absatz 1 der Zivilprozessordnung werden zugewiesen</w:t>
      </w:r>
    </w:p>
    <w:p>
      <w:r>
        <w:t xml:space="preserve">1. dem Amtsgericht Duisburg</w:t>
      </w:r>
    </w:p>
    <w:p>
      <w:r>
        <w:t xml:space="preserve">für die Amtsgerichtsbezirke Duisburg, Duisburg-Hamborn und Duisburg-Ruhrort,</w:t>
      </w:r>
    </w:p>
    <w:p>
      <w:r>
        <w:t xml:space="preserve">2. dem Amtsgericht Essen</w:t>
      </w:r>
    </w:p>
    <w:p>
      <w:r>
        <w:t xml:space="preserve">für die Amtsgerichtsbezirke Essen, Essen-Borbeck und Essen-Steele,</w:t>
      </w:r>
    </w:p>
    <w:p>
      <w:r>
        <w:t xml:space="preserve">3. dem Amtsgericht Herne</w:t>
      </w:r>
    </w:p>
    <w:p>
      <w:r>
        <w:t xml:space="preserve">für die Amtsgerichtsbezirke Herne und Herne-Wanne,</w:t>
      </w:r>
    </w:p>
    <w:p>
      <w:r>
        <w:t xml:space="preserve">4. dem Amtsgericht Mönchengladbach</w:t>
      </w:r>
    </w:p>
    <w:p>
      <w:r>
        <w:t xml:space="preserve">für die Amtsgerichtsbezirke Mönchengladbach und Mönchengladbach-Rheydt.</w:t>
      </w:r>
    </w:p>
    <w:p>
      <w:r>
        <w:t xml:space="preserve">Abschnitt 11</w:t>
      </w:r>
    </w:p>
    <w:p>
      <w:r>
        <w:t xml:space="preserve">Besondere Sachgebiete</w:t>
      </w:r>
    </w:p>
    <w:p>
      <w:r>
        <w:rPr>
          <w:color w:val="555555"/>
          <w:sz w:val="17"/>
        </w:rPr>
        <w:t xml:space="preserve">Zitiervorschlag: § 32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