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JuZuVO (Nordrhein-Westfalen) — Wertpapiererwerbs- und Übernahmerecht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bürgerlichen Rechtsstreitigkeiten, für die nach § 66 Absatz 1 des Wertpapiererwerbs- und Übernahmegesetzes vom 20. Dezember 2001 (BGBl. I S. 3822) in der jeweils geltenden Fassung ausschließlich die Landgerichte zuständig sind, werden zugewiesen:</w:t>
      </w:r>
    </w:p>
    <w:p>
      <w:r>
        <w:t xml:space="preserve">1. dem Landgericht Düsseldorf</w:t>
      </w:r>
    </w:p>
    <w:p>
      <w:r>
        <w:t xml:space="preserve">für den Oberlandesgerichtsbezirk Düsseldorf,</w:t>
      </w:r>
    </w:p>
    <w:p>
      <w:r>
        <w:t xml:space="preserve">2. dem Landgericht Dortmund</w:t>
      </w:r>
    </w:p>
    <w:p>
      <w:r>
        <w:t xml:space="preserve">für den Oberlandesgerichtsbezirk Hamm,</w:t>
      </w:r>
    </w:p>
    <w:p>
      <w:r>
        <w:t xml:space="preserve">3. dem Landgericht Köln</w:t>
      </w:r>
    </w:p>
    <w:p>
      <w:r>
        <w:t xml:space="preserve">für den Oberlandesgerichtsbezirk Köln.</w:t>
      </w:r>
    </w:p>
    <w:p>
      <w:r>
        <w:t xml:space="preserve">(2) Die Entscheidungen über Berufungen und Beschwerden gegen Entscheidungen der nach § 66 Absatz 1 des Wertpapiererwerbs- und Übernahmegesetzes zuständigen Landgerichte in bürgerlichen Rechtsstreitigkeiten werden</w:t>
      </w:r>
    </w:p>
    <w:p>
      <w:r>
        <w:t xml:space="preserve">dem Oberlandesgericht Köln</w:t>
      </w:r>
    </w:p>
    <w:p>
      <w:r>
        <w:t xml:space="preserve">für die Oberlandesgerichtsbezirke Düsseldorf, Hamm und Köln</w:t>
      </w:r>
    </w:p>
    <w:p>
      <w:r>
        <w:t xml:space="preserve">zugewiesen.</w:t>
      </w:r>
    </w:p>
    <w:p>
      <w:r>
        <w:t xml:space="preserve">(3) Für Verfahren, die vor Inkrafttreten dieser Verordnung anhängig geworden sind, verbleibt es bei der bisherigen Zuständigkeit.</w:t>
      </w:r>
    </w:p>
    <w:p>
      <w:r>
        <w:rPr>
          <w:color w:val="555555"/>
          <w:sz w:val="17"/>
        </w:rPr>
        <w:t xml:space="preserve">Zitiervorschlag: § 20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