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JuZuVO (Nordrhein-Westfalen) — Verfahren nach dem Unterlassungsklagengesetz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Zuständigkeit für Klagen nach dem Unterlassungsklagengesetz in der Fassung der Bekanntmachung vom 27. August 2002 (BGBl. I S. 3422, 4346) in der jeweils geltenden Fassung werden für die Bezirke aller Oberlandesgerichte des Landes Nordrhein-Westfalen dem Oberlandesgericht Hamm zugewiesen.</w:t>
      </w:r>
    </w:p>
    <w:p>
      <w:r>
        <w:t xml:space="preserve">(2) Für Verfahren, die vor dem 1. Juli 2025 anhängig geworden sind, verbleibt es bei der bisherigen Zuständigkeit.</w:t>
      </w:r>
    </w:p>
    <w:p>
      <w:r>
        <w:t xml:space="preserve">Abschnitt 7a</w:t>
      </w:r>
    </w:p>
    <w:p>
      <w:r>
        <w:t xml:space="preserve">Ansprüche aus Verträgen über leitungsgebundene Versorgungsleistungen</w:t>
      </w:r>
    </w:p>
    <w:p>
      <w:r>
        <w:rPr>
          <w:color w:val="555555"/>
          <w:sz w:val="17"/>
        </w:rPr>
        <w:t xml:space="preserve">Zitiervorschlag: § 18a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https://recht.nulegal.eu/gesetze/JuZuVO/18a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