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JuZuVO (Nordrhein-Westfalen) — Verfahren nach dem Kapitalanleger-Musterverfahrensgesetz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Rechtsstreitigkeiten nach § 32b Absatz 1 der Zivilprozessordnung in der Fassung der Bekanntmachung vom 5. Dezember 2005 (BGBl. I S. 3202; 2006 I S. 431; 2007 I S. 1781) in der jeweils geltenden Fassung, für die die Landgerichte zuständig sind, werden zugewiesen</w:t>
      </w:r>
    </w:p>
    <w:p>
      <w:r>
        <w:t xml:space="preserve">1. dem Landgericht Düsseldorf</w:t>
      </w:r>
    </w:p>
    <w:p>
      <w:r>
        <w:t xml:space="preserve">für den Oberlandesgerichtsbezirk Düsseldorf,</w:t>
      </w:r>
    </w:p>
    <w:p>
      <w:r>
        <w:t xml:space="preserve">2. dem Landgericht Dortmund</w:t>
      </w:r>
    </w:p>
    <w:p>
      <w:r>
        <w:t xml:space="preserve">für den Oberlandesgerichtsbezirk Hamm,</w:t>
      </w:r>
    </w:p>
    <w:p>
      <w:r>
        <w:t xml:space="preserve">3. dem Landgericht Köln</w:t>
      </w:r>
    </w:p>
    <w:p>
      <w:r>
        <w:t xml:space="preserve">für den Oberlandesgerichtsbezirk Köln.</w:t>
      </w:r>
    </w:p>
    <w:p>
      <w:r>
        <w:t xml:space="preserve">(2) Die Entscheidungen über die Feststellungsziele gleichgerichteter Musterverfahrensanträge nach § 7 Absatz 1 des Kapitalanleger-Musterverfahrensgesetzes vom 16. Juli 2024 (BGBl. 2024 I Nr. 240) in der jeweils geltenden Fassung, für die die Oberlandesgerichte zuständig sind, werden für die Bezirke aller Oberlandesgerichte des Landes Nordrhein-Westfalen dem Oberlandesgericht Hamm zugewiesen.</w:t>
      </w:r>
    </w:p>
    <w:p>
      <w:r>
        <w:t xml:space="preserve">(3) Für Verfahren, die vor dem 1. Juli 2025 anhängig geworden sind, verbleibt es bei der bisherigen Zuständigkeit.</w:t>
      </w:r>
    </w:p>
    <w:p>
      <w:r>
        <w:rPr>
          <w:color w:val="555555"/>
          <w:sz w:val="17"/>
        </w:rPr>
        <w:t xml:space="preserve">Zitiervorschlag: § 18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