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JuZuVO (Nordrhein-Westfalen) — Restrukturierungssachen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Entscheidungen in Restrukturierungssachen im Bezirk des Oberlandesgerichts Hamm ist das Amtsgericht Essen ausschließlich zuständig.</w:t>
      </w:r>
    </w:p>
    <w:p>
      <w:r>
        <w:t xml:space="preserve">(2) Für die vor Inkrafttreten dieser Verordnung angezeigten Restrukturierungsvorhaben verbleibt es bei der bisherigen Zuständigkeit.</w:t>
      </w:r>
    </w:p>
    <w:p>
      <w:r>
        <w:t xml:space="preserve">Abschnitt 7</w:t>
      </w:r>
    </w:p>
    <w:p>
      <w:r>
        <w:t xml:space="preserve">Kollektiver Rechtsschutz und Musterverfahren</w:t>
      </w:r>
    </w:p>
    <w:p>
      <w:r>
        <w:rPr>
          <w:color w:val="555555"/>
          <w:sz w:val="17"/>
        </w:rPr>
        <w:t xml:space="preserve">Zitiervorschlag: § 16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