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JuZÜV (Brandenburg)</w:t>
      </w:r>
    </w:p>
    <w:p>
      <w:r>
        <w:rPr>
          <w:color w:val="555555"/>
          <w:sz w:val="18"/>
        </w:rPr>
        <w:t xml:space="preserve">Justiz-Zuständigkeitsübertragungsverordnung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1. Januar 2025 in Kraft.</w:t>
      </w:r>
    </w:p>
    <w:p>
      <w:r>
        <w:t xml:space="preserve">(2) Gleichzeitig tritt die Justiz-Zuständigkeitsübertragungsverordnung vom 9. April 2014 ( GVBl. II Nr. 23), die zuletzt durch die Verordnung vom 23. August 2024 (GVBl. II Nr. 67) geändert worden ist, außer Kraft.</w:t>
      </w:r>
    </w:p>
    <w:p>
      <w:r>
        <w:t xml:space="preserve">(3) Soweit andere Vorschriften des Landesrechts auf der aufgehobenen Verordnung beruhen oder auf sie verweisen, treten an deren Stelle die Bestimmungen dieser Verordnung.</w:t>
      </w:r>
    </w:p>
    <w:p>
      <w:r>
        <w:t xml:space="preserve">Potsdam, den 6. Dezember 2024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Dietmar Woidke</w:t>
      </w:r>
    </w:p>
    <w:p>
      <w:r>
        <w:t xml:space="preserve">Die Ministerin der Justiz</w:t>
      </w:r>
    </w:p>
    <w:p>
      <w:r>
        <w:t xml:space="preserve">Susanne Hoffmann</w:t>
      </w:r>
    </w:p>
    <w:p>
      <w:r>
        <w:rPr>
          <w:color w:val="555555"/>
          <w:sz w:val="17"/>
        </w:rPr>
        <w:t xml:space="preserve">Zitiervorschlag: § 2 JuZÜV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https://recht.nulegal.eu/gesetze/JuZ%C3%9CV/2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