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JuSchGDV — Verhandlungstermin</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Die oder der Vorsitzende der Prüfstelle für jugendgefährdende Medien bestimmt den Verhandlungstermin.</w:t>
      </w:r>
    </w:p>
    <w:p>
      <w:r>
        <w:t xml:space="preserve">(2) Die Benachrichtigung über den Verhandlungstermin muss den Beteiligten und Anregenden mindestens zwei Wochen vor der Verhandlung zugestellt werden. Gleichzeitig sind den Beteiligten die zur Mitwirkung bei der Entscheidung berufenen Mitglieder der Prüfstelle für jugendgefährdende Medien und deren Vertretung namhaft zu machen. Der Benachrichtigung der Beteiligten, die nicht Antragstellerin oder Antragsteller sind, muss eine Kopie der Antragsschrift oder der Verfahrensanregung beigefügt werden. Die Pflicht zur Benachrichtigung eines Beteiligten entfällt, wenn dessen ladungsfähige Anschrift auch nach zumutbarem Aufwand aus öffentlich zugänglichen Quellen nicht ermittelt werden kann.</w:t>
      </w:r>
    </w:p>
    <w:p>
      <w:r>
        <w:t xml:space="preserve">(3) Die Bundeszentrale für Kinder- und Jugendmedienschutz hat den Beteiligten einen Abdruck der Stellungnahme der Kommission für Jugendmedienschutz (§ 21 Absatz 6 des Jugendschutzgesetzes) zuzusenden.</w:t>
      </w:r>
    </w:p>
    <w:p>
      <w:r>
        <w:t xml:space="preserve">(4) Die Beteiligten können auf die Benachrichtigung über den Termin und die Einhaltung der Frist verzichten.</w:t>
      </w:r>
    </w:p>
    <w:p>
      <w:r>
        <w:t xml:space="preserve">(5) Die fristgemäße Benachrichtigung ist zu Beginn der Verhandlung festzustellen; Absatz 2 Satz 4 bleibt unberührt. Kann nicht festgestellt werden, dass die Benachrichtigung zugestellt worden ist, oder ist die Benachrichtigung nicht fristgemäß erfolgt, so ist die Verhandlung zu vertagen, wenn die Beteiligten nicht auf die Benachrichtigung oder die Einhaltung der Frist verzichtet haben.</w:t>
      </w:r>
    </w:p>
    <w:p>
      <w:r>
        <w:rPr>
          <w:color w:val="555555"/>
          <w:sz w:val="17"/>
        </w:rPr>
        <w:t xml:space="preserve">Zitiervorschlag: § 5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